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F63" w:rsidRPr="00555EAF" w:rsidRDefault="00555EAF" w:rsidP="00504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5EAF">
        <w:rPr>
          <w:rFonts w:ascii="Times New Roman" w:eastAsia="Calibri" w:hAnsi="Times New Roman" w:cs="Times New Roman"/>
          <w:b/>
          <w:sz w:val="28"/>
          <w:szCs w:val="28"/>
        </w:rPr>
        <w:t>Заключение, содержащее информацию об учете поступивших замечаний и предложений и (или) о причинах их отклонения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от 01.07.2024 года</w:t>
      </w:r>
      <w:r w:rsidRPr="00555EA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55EAF" w:rsidRDefault="00555EAF" w:rsidP="00504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555EAF" w:rsidRPr="00782D80" w:rsidRDefault="00555EAF" w:rsidP="00504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a3"/>
        <w:tblpPr w:leftFromText="180" w:rightFromText="180" w:vertAnchor="text" w:tblpX="-195" w:tblpY="1"/>
        <w:tblOverlap w:val="never"/>
        <w:tblW w:w="14879" w:type="dxa"/>
        <w:tblLayout w:type="fixed"/>
        <w:tblLook w:val="04A0" w:firstRow="1" w:lastRow="0" w:firstColumn="1" w:lastColumn="0" w:noHBand="0" w:noVBand="1"/>
      </w:tblPr>
      <w:tblGrid>
        <w:gridCol w:w="421"/>
        <w:gridCol w:w="1172"/>
        <w:gridCol w:w="1237"/>
        <w:gridCol w:w="1985"/>
        <w:gridCol w:w="5283"/>
        <w:gridCol w:w="4781"/>
      </w:tblGrid>
      <w:tr w:rsidR="00D45BE4" w:rsidRPr="00782D80" w:rsidTr="004940F3">
        <w:trPr>
          <w:trHeight w:val="6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4" w:rsidRPr="00EA09AD" w:rsidRDefault="00D45BE4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9AD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4" w:rsidRPr="00EA09AD" w:rsidRDefault="00D45BE4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9AD">
              <w:rPr>
                <w:rFonts w:ascii="Times New Roman" w:hAnsi="Times New Roman"/>
                <w:sz w:val="16"/>
                <w:szCs w:val="16"/>
              </w:rPr>
              <w:t>Дата поступления</w:t>
            </w:r>
          </w:p>
          <w:p w:rsidR="00D45BE4" w:rsidRPr="00EA09AD" w:rsidRDefault="00D45BE4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9AD">
              <w:rPr>
                <w:rFonts w:ascii="Times New Roman" w:hAnsi="Times New Roman"/>
                <w:sz w:val="16"/>
                <w:szCs w:val="16"/>
              </w:rPr>
              <w:t xml:space="preserve">предложения/замечания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4" w:rsidRPr="00EA09AD" w:rsidRDefault="00D45BE4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9AD">
              <w:rPr>
                <w:rFonts w:ascii="Times New Roman" w:hAnsi="Times New Roman"/>
                <w:sz w:val="16"/>
                <w:szCs w:val="16"/>
              </w:rPr>
              <w:t>Автор</w:t>
            </w:r>
          </w:p>
          <w:p w:rsidR="00D45BE4" w:rsidRPr="00EA09AD" w:rsidRDefault="00D45BE4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9AD">
              <w:rPr>
                <w:rFonts w:ascii="Times New Roman" w:hAnsi="Times New Roman"/>
                <w:sz w:val="16"/>
                <w:szCs w:val="16"/>
              </w:rPr>
              <w:t>предложения/</w:t>
            </w:r>
            <w:r w:rsidRPr="00EA09A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A09AD">
              <w:rPr>
                <w:rFonts w:ascii="Times New Roman" w:hAnsi="Times New Roman"/>
                <w:sz w:val="16"/>
                <w:szCs w:val="16"/>
              </w:rPr>
              <w:t>замечания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EA09AD" w:rsidRDefault="00D45BE4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9AD">
              <w:rPr>
                <w:rFonts w:ascii="Times New Roman" w:hAnsi="Times New Roman"/>
                <w:sz w:val="16"/>
                <w:szCs w:val="16"/>
              </w:rPr>
              <w:t>Электронный адрес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Default="00D45BE4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9AD">
              <w:rPr>
                <w:rFonts w:ascii="Times New Roman" w:hAnsi="Times New Roman"/>
                <w:sz w:val="16"/>
                <w:szCs w:val="16"/>
              </w:rPr>
              <w:t>Текст предложения/замечания</w:t>
            </w:r>
            <w:r w:rsidR="00CB3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B336C" w:rsidRPr="00EA09AD" w:rsidRDefault="00CB336C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(орфография авторов)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EA09AD" w:rsidRDefault="00D45BE4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09AD">
              <w:rPr>
                <w:rFonts w:ascii="Times New Roman" w:hAnsi="Times New Roman"/>
                <w:sz w:val="16"/>
                <w:szCs w:val="16"/>
              </w:rPr>
              <w:t>Комментарии уполномоченного органа</w:t>
            </w:r>
          </w:p>
        </w:tc>
      </w:tr>
      <w:tr w:rsidR="00D45BE4" w:rsidRPr="00782D80" w:rsidTr="004940F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D45BE4" w:rsidP="0055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CF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E20786" w:rsidP="00550E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13.08.2024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8E2878" w:rsidP="00550E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«ПЭК»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E20786" w:rsidP="00550E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20786">
              <w:rPr>
                <w:rFonts w:ascii="Times New Roman" w:hAnsi="Times New Roman"/>
                <w:sz w:val="20"/>
                <w:szCs w:val="20"/>
              </w:rPr>
              <w:t>aanikina@ecocompany.ru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D43600" w:rsidP="002161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8E2878">
              <w:rPr>
                <w:rFonts w:ascii="Times New Roman" w:hAnsi="Times New Roman"/>
                <w:sz w:val="20"/>
                <w:szCs w:val="20"/>
              </w:rPr>
              <w:t>исьмо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ООО «ПЭК»</w:t>
            </w:r>
            <w:r w:rsidR="00E20786">
              <w:rPr>
                <w:rFonts w:ascii="Times New Roman" w:hAnsi="Times New Roman"/>
                <w:sz w:val="20"/>
                <w:szCs w:val="20"/>
              </w:rPr>
              <w:t xml:space="preserve"> от 13.08.2024 № ПЧ-24-659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прилагается</w:t>
            </w:r>
            <w:r w:rsidR="008E287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0F" w:rsidRPr="00311B50" w:rsidRDefault="001D0D0F" w:rsidP="001D0D0F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Предложени</w:t>
            </w:r>
            <w:r w:rsidR="00993D6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я</w:t>
            </w:r>
            <w:r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/З</w:t>
            </w:r>
            <w:r w:rsidR="00993D6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амечания отклоняю</w:t>
            </w:r>
            <w:r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тся</w:t>
            </w:r>
          </w:p>
          <w:p w:rsidR="00D45BE4" w:rsidRDefault="00732500" w:rsidP="001D0D0F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По пунктам 1-5. </w:t>
            </w:r>
            <w:r w:rsidR="001D0D0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Мощности планируемых объектов в </w:t>
            </w:r>
            <w:proofErr w:type="spellStart"/>
            <w:r w:rsidR="001D0D0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Тукаевском</w:t>
            </w:r>
            <w:proofErr w:type="spellEnd"/>
            <w:r w:rsidR="001D0D0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и Лениногорском муниципальных районах </w:t>
            </w:r>
            <w:r w:rsidR="00A1518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достаточны для </w:t>
            </w:r>
            <w:r w:rsidR="001D0D0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обеспеч</w:t>
            </w:r>
            <w:r w:rsidR="00A1518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ения комплексных мероприятий с твердыми коммунальными отходами </w:t>
            </w:r>
            <w:r w:rsidR="001D0D0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Восточной зоны деятельности регионального оператора </w:t>
            </w:r>
            <w:r w:rsidR="00A1518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в области обращения с </w:t>
            </w:r>
            <w:r w:rsidR="002439AE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тверды</w:t>
            </w:r>
            <w:r w:rsidR="00A1518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ми</w:t>
            </w:r>
            <w:r w:rsidR="001D0D0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коммунальны</w:t>
            </w:r>
            <w:r w:rsidR="00A1518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ми</w:t>
            </w:r>
            <w:r w:rsidR="001D0D0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отход</w:t>
            </w:r>
            <w:r w:rsidR="00A1518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ами</w:t>
            </w:r>
            <w:r w:rsidR="001D0D0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(размещение, компостирование). Кроме того, планируемые мощности объектов позволят принимать промышленные отходы. Расширение полигона ООО «ПЭК» не требуется, дефицит мощностей планируемых объектов размещения отсутствует.</w:t>
            </w:r>
          </w:p>
          <w:p w:rsidR="00C74854" w:rsidRDefault="00C74854" w:rsidP="001D0D0F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Действующая Территориальная схема в области обращения с отходами Республики Татарстан</w:t>
            </w:r>
            <w:r w:rsidR="00605882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также</w:t>
            </w:r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не предусматривает расширение действующих объектов размещения.</w:t>
            </w:r>
          </w:p>
          <w:p w:rsidR="001D0D0F" w:rsidRDefault="001D0D0F" w:rsidP="001D0D0F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Действующие объекты обработки ООО «ПЭК» и ООО «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КомунСервис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» в схеме потоков твердых коммунальных отходов присутствуют.</w:t>
            </w:r>
          </w:p>
          <w:p w:rsidR="00732500" w:rsidRDefault="00732500" w:rsidP="001D0D0F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993D6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По пункту 6. Распределение твердых коммунальных отходов </w:t>
            </w:r>
            <w:r w:rsidR="008D570C" w:rsidRPr="00993D6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осуществлено</w:t>
            </w:r>
            <w:r w:rsidR="00650A01" w:rsidRPr="00993D6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с учетом оптимизации и технологических решений на </w:t>
            </w:r>
            <w:r w:rsidR="00BD406E" w:rsidRPr="00993D6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действующих и перспективных </w:t>
            </w:r>
            <w:r w:rsidR="00650A01" w:rsidRPr="00993D6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объектах.</w:t>
            </w:r>
            <w:r w:rsid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</w:t>
            </w:r>
          </w:p>
          <w:p w:rsidR="00A13B83" w:rsidRDefault="00A13B83" w:rsidP="001D0D0F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Перспективные комплексы по обработке отходов включают в себя автоматизированный мусоросортировочный комплекс на котором предусмотрена установка следующего оборудования: </w:t>
            </w:r>
            <w:proofErr w:type="spellStart"/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разрыват</w:t>
            </w:r>
            <w:r w:rsidR="00A1518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е</w:t>
            </w:r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ли</w:t>
            </w:r>
            <w:proofErr w:type="spellEnd"/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пакетов, барабанные грохота, оптические сепараторы, баллистические сепараторы, электромагни</w:t>
            </w:r>
            <w:r w:rsidR="00A15187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тные сепарато</w:t>
            </w:r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ры, </w:t>
            </w:r>
            <w:proofErr w:type="spellStart"/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вихретоковые</w:t>
            </w:r>
            <w:proofErr w:type="spellEnd"/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сепараторы.,</w:t>
            </w:r>
            <w:proofErr w:type="gramEnd"/>
            <w:r w:rsidRPr="00A13B83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что позволяет достигать более глубокого отбора вторичных материальных ресурсов со снижением негативного влияния на окружающую среду.</w:t>
            </w:r>
          </w:p>
          <w:p w:rsidR="001D0D0F" w:rsidRPr="005B0CFB" w:rsidRDefault="001D0D0F" w:rsidP="00732500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</w:p>
        </w:tc>
      </w:tr>
      <w:tr w:rsidR="00D45BE4" w:rsidRPr="00782D80" w:rsidTr="004940F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C74854" w:rsidP="002944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E20786" w:rsidP="002944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13.08.2024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C74854" w:rsidP="002944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751ECF" w:rsidRDefault="00E20786" w:rsidP="002944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51ECF">
              <w:rPr>
                <w:rStyle w:val="bidi"/>
                <w:rFonts w:ascii="Times New Roman" w:hAnsi="Times New Roman"/>
                <w:sz w:val="20"/>
                <w:szCs w:val="20"/>
              </w:rPr>
              <w:t>pr-gi@kamaz.ru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C74854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ПАО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="00E20786">
              <w:rPr>
                <w:rFonts w:ascii="Times New Roman" w:hAnsi="Times New Roman"/>
                <w:sz w:val="20"/>
                <w:szCs w:val="20"/>
              </w:rPr>
              <w:t xml:space="preserve"> от 13.08.2024 № 20001-11-67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прилагается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54" w:rsidRPr="00C74854" w:rsidRDefault="00C74854" w:rsidP="00C74854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C74854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Предложение/Замечание отклоняется</w:t>
            </w:r>
          </w:p>
          <w:p w:rsidR="00D45BE4" w:rsidRDefault="00C74854" w:rsidP="00C74854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C74854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Мощности планируем</w:t>
            </w:r>
            <w:r w:rsid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ых</w:t>
            </w:r>
            <w:r w:rsidRPr="00C74854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объект</w:t>
            </w:r>
            <w:r w:rsid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ов</w:t>
            </w:r>
            <w:r w:rsidR="002439AE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размещения</w:t>
            </w:r>
            <w:r w:rsidRPr="00C74854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74854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Тукаевском</w:t>
            </w:r>
            <w:proofErr w:type="spellEnd"/>
            <w:r w:rsidRPr="00C74854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и Лениногорском муниципальных районах </w:t>
            </w:r>
            <w:r w:rsidR="00DC4740" w:rsidRP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достаточны для обеспечения </w:t>
            </w:r>
            <w:r w:rsid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размещения твердых</w:t>
            </w:r>
            <w:r w:rsidR="00DC4740" w:rsidRP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коммунальны</w:t>
            </w:r>
            <w:r w:rsid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х </w:t>
            </w:r>
            <w:r w:rsidR="00DC4740" w:rsidRP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отход</w:t>
            </w:r>
            <w:r w:rsid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ов</w:t>
            </w:r>
            <w:r w:rsidR="00DC4740" w:rsidRPr="00DC474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Восточной зоны деятельности регионального оператора в области обращения с твердыми коммунальными отходами</w:t>
            </w:r>
            <w:r w:rsidRPr="00C74854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. Кроме того, планируемые мощности объектов позволят принимать промышленные</w:t>
            </w:r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отходы</w:t>
            </w:r>
            <w:r w:rsidRPr="00C74854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. Расширение полигона ООО «ПЭК» не требуется, дефицит мощностей планируемых объектов размещения отсутствует.</w:t>
            </w:r>
          </w:p>
          <w:p w:rsidR="00605882" w:rsidRPr="005B0CFB" w:rsidRDefault="00605882" w:rsidP="002439AE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605882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Действующая Территориальная схема в области обращения с отходами Республики Татарстан также не предусматривает расширение действующих объектов размещения.</w:t>
            </w:r>
          </w:p>
        </w:tc>
      </w:tr>
      <w:tr w:rsidR="00D45BE4" w:rsidRPr="00782D80" w:rsidTr="004940F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605882" w:rsidP="00D92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751ECF" w:rsidP="00D920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14.08.2024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605882" w:rsidP="00D920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Государственный комитет РТ по тарифам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E4" w:rsidRPr="005B0CFB" w:rsidRDefault="00751ECF" w:rsidP="00D920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51ECF">
              <w:rPr>
                <w:rFonts w:ascii="Times New Roman" w:hAnsi="Times New Roman"/>
                <w:sz w:val="20"/>
                <w:szCs w:val="20"/>
              </w:rPr>
              <w:t>Alfiya.Zagretdinova@tatar.ru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82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Государственного комитета Республики Татарстан по тарифам</w:t>
            </w:r>
            <w:r w:rsidR="00A92CC8">
              <w:rPr>
                <w:rFonts w:ascii="Times New Roman" w:hAnsi="Times New Roman"/>
                <w:sz w:val="20"/>
                <w:szCs w:val="20"/>
              </w:rPr>
              <w:t xml:space="preserve"> от 14.08.2024 №Лх-28/4789/2024.</w:t>
            </w: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1ECF" w:rsidRDefault="00751EC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1. В таблице 11.1 раздела 11 «Сведения о зонах деятельности региональных операторов» представлены прогнозные значения образования ТКО в Республике Татарстан по каждой зоне регионального оператора и муниципальным образованиям без указания ежегодной динамике изменения массы образования ТКО по каждому муниципальному району.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В соответствии с пунктом 18 Основ ценообразования в области обращения с твердыми коммунальными отходами, утвержденных постановлением Правительства Российской Федерации от 30 мая 2016 г. № 484, и пунктами 7, 14 Методических указаний по расчету регулируемых тарифов в области обращения с твердыми коммунальными отходами, утвержденных приказом Федеральной антимонопольной службы от 21 ноября 2016 г.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lastRenderedPageBreak/>
              <w:t>№ 1638/16, расчетный объем и (или) масса ТКО определяются в соответствии с методическими указаниями на основании данных о фактическом объеме и (или) массе ТКО за последний отчетный год и данных о динамике образования ТКО за последние 3 года при наличии соответствующих подтверждающих документов, а в случае отсутствия подтверждающих документов – исходя из данных территориальной схемы или, при ее отсутствии, исходя из нормативов накопления ТКО.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Таким образом, при расчете регулируемых тарифов в сфере обращения с ТКО могут использоваться данные об объемах и (или) массе образования ТКО из территориальной схемы.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С учетом изложенного, проект необходимо дополнить данными о ежегодной динамике изменения массы образования ТКО по каждому муниципальному образованию.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2. В приложениях 4.1.1-4.1.45 «Данные мест (площадок) накопления ТКО …» не указаны значения в столбце «Планируемые к размещению контейнеры под раздельное накопление (в том числе с учетом предложения регионального оператора)».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3. В соответствии с таблицей 8.3 раздела 8 «Данные о планируемых строительстве, реконструкции, выведении из эксплуатации объектов обработки, утилизации, обезвреживания, размещения отходов» указан планируемый вывод из эксплуатации полигонов ТБО в 2025-2026 годы. Однако в соответствии с данными организаций, эксплуатирующие полигоны, на них имеется остаточная вместимость для дальнейшей эксплуатации. В связи с чем, организациями поданы предложения на установление (корректировку) предельных тарифов на захоронение ТКО на 2025 год.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 xml:space="preserve">С учетом указанного факта, необходимо пересмотреть сроки вывода объектов из эксплуатации. Указанные сведения будут использованы Государственным комитетом Республики Татарстан по тарифам при тарифном регулировании. 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Государственный комитет Республики Татарстан по тарифам повторно сообщает о наличии замечаний, направленных письмом от 21.06.2024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№ ЛХ-28/3684/2024: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 xml:space="preserve">1. На федеральном уровне неоднократно обсуждаются вопросы о необходимости организации взаимодействия региональных операторов и операторов по обращению с </w:t>
            </w:r>
            <w:r w:rsidRPr="00605882">
              <w:rPr>
                <w:rFonts w:ascii="Times New Roman" w:hAnsi="Times New Roman"/>
                <w:sz w:val="20"/>
                <w:szCs w:val="20"/>
              </w:rPr>
              <w:lastRenderedPageBreak/>
              <w:t>твердыми коммунальными отходами (далее – ТКО) в целях вывоза, размещения и обработки на объектах, расположенных вне зоны деятельности регионального оператора: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- внутри региона в близлежащих муниципальных образованиях Республики Татарстан;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- за пределами Республики Татарстан в близлежащих регионах Российской Федерации.</w:t>
            </w:r>
          </w:p>
          <w:p w:rsid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Таким образом, в проект необходимо внести соответствующее положение о порядке взаимодействия региональных операторов и операторов по обращению с ТКО.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 xml:space="preserve">2. В таблице 1.1 раздела 1 «Нахождение источников образования отходов» представлена классификация коммунальных отходов, подобных коммунальным на производстве и при предоставлении услуг населению в соответствии с ФККО (ТКО). 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Однако в указанном разделе отсутствует информация об отнесении классификаций к категориям объекта жилищного фонда «многоквартирные дома» и «индивидуальные жилые дома».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 xml:space="preserve">3. В разделе 7 «Схема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отходов» указано, что в период 2024-2030 гг. планируется строительство объектов размещения, мусоросортировочной станции и компостирования в </w:t>
            </w:r>
            <w:proofErr w:type="spellStart"/>
            <w:r w:rsidRPr="00605882">
              <w:rPr>
                <w:rFonts w:ascii="Times New Roman" w:hAnsi="Times New Roman"/>
                <w:sz w:val="20"/>
                <w:szCs w:val="20"/>
              </w:rPr>
              <w:t>Тукаевском</w:t>
            </w:r>
            <w:proofErr w:type="spellEnd"/>
            <w:r w:rsidRPr="00605882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при действующих объектах в г. Набережные Челны в районе </w:t>
            </w:r>
            <w:proofErr w:type="spellStart"/>
            <w:r w:rsidRPr="00605882">
              <w:rPr>
                <w:rFonts w:ascii="Times New Roman" w:hAnsi="Times New Roman"/>
                <w:sz w:val="20"/>
                <w:szCs w:val="20"/>
              </w:rPr>
              <w:t>н.п</w:t>
            </w:r>
            <w:proofErr w:type="spellEnd"/>
            <w:r w:rsidRPr="0060588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05882">
              <w:rPr>
                <w:rFonts w:ascii="Times New Roman" w:hAnsi="Times New Roman"/>
                <w:sz w:val="20"/>
                <w:szCs w:val="20"/>
              </w:rPr>
              <w:t>Сарайлы</w:t>
            </w:r>
            <w:proofErr w:type="spellEnd"/>
            <w:r w:rsidRPr="00605882">
              <w:rPr>
                <w:rFonts w:ascii="Times New Roman" w:hAnsi="Times New Roman"/>
                <w:sz w:val="20"/>
                <w:szCs w:val="20"/>
              </w:rPr>
              <w:t>, эксплуатируемых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ООО «Поволжская экологическая компания».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 xml:space="preserve">Необходимо пересмотреть целесообразность строительства объектов в </w:t>
            </w:r>
            <w:proofErr w:type="spellStart"/>
            <w:r w:rsidRPr="00605882">
              <w:rPr>
                <w:rFonts w:ascii="Times New Roman" w:hAnsi="Times New Roman"/>
                <w:sz w:val="20"/>
                <w:szCs w:val="20"/>
              </w:rPr>
              <w:t>Тукаевском</w:t>
            </w:r>
            <w:proofErr w:type="spellEnd"/>
            <w:r w:rsidRPr="00605882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4. В разделе 7 проекта «Схема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отходов» указано, что при возникновении каких-либо чрезвычайных или непредвиденных ситуаций на объектах обращения с отходами, транспортирование отходов должно осуществляться на легитимный объект.</w:t>
            </w:r>
          </w:p>
          <w:p w:rsidR="00605882" w:rsidRPr="00605882" w:rsidRDefault="00605882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t>Из перечня таких ситуаций необходимо исключить «неполучение тарифа».</w:t>
            </w:r>
          </w:p>
          <w:p w:rsidR="00C81EEF" w:rsidRPr="00C81EEF" w:rsidRDefault="00605882" w:rsidP="00C81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82">
              <w:rPr>
                <w:rFonts w:ascii="Times New Roman" w:hAnsi="Times New Roman"/>
                <w:sz w:val="20"/>
                <w:szCs w:val="20"/>
              </w:rPr>
              <w:lastRenderedPageBreak/>
              <w:t>5. В разделе 7 проекта «Схема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отходов» положение о согласовании изменения региональным</w:t>
            </w:r>
            <w:r w:rsidR="00C81E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1EEF" w:rsidRPr="00C81EEF">
              <w:rPr>
                <w:rFonts w:ascii="Times New Roman" w:hAnsi="Times New Roman"/>
                <w:sz w:val="20"/>
                <w:szCs w:val="20"/>
              </w:rPr>
              <w:t>оператором направления транспортирования необходимо дополнить положением о необходимости представления региональным оператором в Государственный комитет Республики Татарстан по тарифам сведений о направлении транспортирования в рамках предложении об установлении предельного единого тарифа на услугу регионального оператора по обращению с ТКО в целях учета направлений в тарифных решениях.</w:t>
            </w:r>
          </w:p>
          <w:p w:rsidR="00C81EEF" w:rsidRPr="00C81EEF" w:rsidRDefault="00C81EEF" w:rsidP="00C81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1EEF">
              <w:rPr>
                <w:rFonts w:ascii="Times New Roman" w:hAnsi="Times New Roman"/>
                <w:sz w:val="20"/>
                <w:szCs w:val="20"/>
              </w:rPr>
              <w:t>6. В приложении 5.3 «Сведения об объектах размещения ТКО, включенных ГРОРО» указаны данные о количестве размещённых отходов на полигонах за 2023 год, отличающиеся от данных, представленных операторами и региональными операторами по обращению с ТКО в Государственный комитет Республики Татарстан по тарифам.</w:t>
            </w:r>
          </w:p>
          <w:p w:rsidR="00C81EEF" w:rsidRPr="00C81EEF" w:rsidRDefault="00C81EEF" w:rsidP="00C81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1EEF">
              <w:rPr>
                <w:rFonts w:ascii="Times New Roman" w:hAnsi="Times New Roman"/>
                <w:sz w:val="20"/>
                <w:szCs w:val="20"/>
              </w:rPr>
              <w:t>Необходимо пересмотреть информацию о количестве размещённых отходов на полигонах за 2023 год.</w:t>
            </w:r>
          </w:p>
          <w:p w:rsidR="00C81EEF" w:rsidRPr="00C81EEF" w:rsidRDefault="00C81EEF" w:rsidP="00C81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1EEF">
              <w:rPr>
                <w:rFonts w:ascii="Times New Roman" w:hAnsi="Times New Roman"/>
                <w:sz w:val="20"/>
                <w:szCs w:val="20"/>
              </w:rPr>
              <w:t>С учетом изложенного, проект Территориальной схемы обращения с отходами Республики Татарстан требует доработки.</w:t>
            </w:r>
          </w:p>
          <w:p w:rsidR="00C81EEF" w:rsidRPr="005B0CFB" w:rsidRDefault="00C81EEF" w:rsidP="00605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82" w:rsidRPr="00311B50" w:rsidRDefault="00605882" w:rsidP="00605882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lastRenderedPageBreak/>
              <w:t>Предложени</w:t>
            </w:r>
            <w:r w:rsidR="00C81EE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я</w:t>
            </w:r>
            <w:r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/З</w:t>
            </w:r>
            <w:r w:rsidR="00C81EE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амечания</w:t>
            </w:r>
            <w:r w:rsidR="002439AE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отклоня</w:t>
            </w:r>
            <w:r w:rsidR="00C81EEF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ю</w:t>
            </w:r>
            <w:r w:rsidR="002439AE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т</w:t>
            </w:r>
            <w:r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ся</w:t>
            </w:r>
          </w:p>
          <w:p w:rsidR="00605882" w:rsidRPr="00311B50" w:rsidRDefault="00605882" w:rsidP="00605882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В соответствии с постановлением Правительства РФ от 22.09.2018 № 1130 орган исполнительной власти субъекта Российской Федерации, уполномоченный в области государственного регулирования тарифов направляет в уполномоченный орган предложения и замечания, - в части прогнозных значений предельных тарифов в области обращения с твердыми коммунальными отходами.</w:t>
            </w:r>
          </w:p>
          <w:p w:rsidR="00605882" w:rsidRPr="00311B50" w:rsidRDefault="00605882" w:rsidP="00605882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DB1589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Предложения и замечания</w:t>
            </w:r>
            <w:r w:rsidRPr="00DB1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1589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в части прогнозных значений предельных тарифов в области обращения с твердыми коммунальными отходами отсутствуют.</w:t>
            </w:r>
          </w:p>
          <w:p w:rsidR="00D9710D" w:rsidRDefault="00D9710D" w:rsidP="00605882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</w:p>
          <w:p w:rsidR="00605882" w:rsidRPr="00311B50" w:rsidRDefault="00D9710D" w:rsidP="00605882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Д</w:t>
            </w:r>
            <w:r w:rsidR="00605882"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ополнительные комментарии.</w:t>
            </w:r>
          </w:p>
          <w:p w:rsidR="00D45BE4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По пункту 1. Динамика изменения массы образования ТКО по каждому муниципальному району будет отражаться в корректировках Территориальной схемы в области обращения </w:t>
            </w:r>
            <w:r w:rsidR="00295227">
              <w:rPr>
                <w:rFonts w:ascii="Times New Roman" w:hAnsi="Times New Roman"/>
                <w:color w:val="212121"/>
                <w:sz w:val="20"/>
                <w:szCs w:val="20"/>
              </w:rPr>
              <w:t>с отходами Республики Татарстан.</w:t>
            </w: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</w:rPr>
              <w:t>По пункту 2.</w:t>
            </w:r>
            <w:r w:rsidR="004A04B9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Приложение заполнено </w:t>
            </w:r>
            <w:r w:rsidR="00630513">
              <w:rPr>
                <w:rFonts w:ascii="Times New Roman" w:hAnsi="Times New Roman"/>
                <w:color w:val="212121"/>
                <w:sz w:val="20"/>
                <w:szCs w:val="20"/>
              </w:rPr>
              <w:t>на основании</w:t>
            </w:r>
            <w:r w:rsidR="004A04B9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сведений муниципальных образований и региональных операторов в области обращения с твердыми коммунальными отходами.</w:t>
            </w: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</w:rPr>
              <w:t>По пункту 3</w:t>
            </w:r>
            <w:r w:rsidR="00605882">
              <w:rPr>
                <w:rFonts w:ascii="Times New Roman" w:hAnsi="Times New Roman"/>
                <w:color w:val="212121"/>
                <w:sz w:val="20"/>
                <w:szCs w:val="20"/>
              </w:rPr>
              <w:t>. В приложениях 7.1 и 7.2 эксплуатация действующих объектов в 2025 году предусмотрена.</w:t>
            </w: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По пункту </w:t>
            </w:r>
            <w:r w:rsidR="00605882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1. </w:t>
            </w:r>
            <w:r w:rsidR="00605882" w:rsidRPr="00605882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В рамках государственной политики в области обращения с твердыми коммунальными отходами вывоз, размещение и обработка твердых </w:t>
            </w:r>
            <w:r w:rsidR="00605882" w:rsidRPr="00605882">
              <w:rPr>
                <w:rFonts w:ascii="Times New Roman" w:hAnsi="Times New Roman"/>
                <w:color w:val="212121"/>
                <w:sz w:val="20"/>
                <w:szCs w:val="20"/>
              </w:rPr>
              <w:lastRenderedPageBreak/>
              <w:t>коммунальных отходов вне зоны деятельности регионального оператора и за пределами Республики Татарстан не рассматривается.</w:t>
            </w: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9C7206" w:rsidRDefault="009C7206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Pr="00311B50" w:rsidRDefault="00C81EEF" w:rsidP="00C81EEF">
            <w:pPr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311B5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По пункту 2. Предложение/замечание не относится к требованиям содержания территориальных схем в области обращения с отходами.</w:t>
            </w:r>
          </w:p>
          <w:p w:rsidR="00605882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2439AE" w:rsidRDefault="002439AE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По пункту 3. Строительство объектов в </w:t>
            </w:r>
            <w:proofErr w:type="spellStart"/>
            <w:r>
              <w:rPr>
                <w:rFonts w:ascii="Times New Roman" w:hAnsi="Times New Roman"/>
                <w:color w:val="212121"/>
                <w:sz w:val="20"/>
                <w:szCs w:val="20"/>
              </w:rPr>
              <w:t>Тукаевском</w:t>
            </w:r>
            <w:proofErr w:type="spellEnd"/>
            <w:r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муниципальном районе учтено в </w:t>
            </w:r>
            <w:r w:rsidR="002439A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проекте </w:t>
            </w:r>
            <w:r>
              <w:rPr>
                <w:rFonts w:ascii="Times New Roman" w:hAnsi="Times New Roman"/>
                <w:color w:val="212121"/>
                <w:sz w:val="20"/>
                <w:szCs w:val="20"/>
              </w:rPr>
              <w:t>Территориальной схем</w:t>
            </w:r>
            <w:r w:rsidR="00295227">
              <w:rPr>
                <w:rFonts w:ascii="Times New Roman" w:hAnsi="Times New Roman"/>
                <w:color w:val="212121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в области обращения с отходами Республики Татарстан с учетом целесообразности.</w:t>
            </w:r>
            <w:r w:rsidR="006C4BE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Объект размещения ООО «ПЭК» завершает эксплуатацию в связи с исчерпание</w:t>
            </w:r>
            <w:r w:rsidR="009C7206">
              <w:rPr>
                <w:rFonts w:ascii="Times New Roman" w:hAnsi="Times New Roman"/>
                <w:color w:val="212121"/>
                <w:sz w:val="20"/>
                <w:szCs w:val="20"/>
              </w:rPr>
              <w:t>м</w:t>
            </w:r>
            <w:r w:rsidR="006C4BE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остаточной вместимости. Объект обработки ООО «ПЭК» продолжает эксплуатацию.</w:t>
            </w: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По пункту 4. </w:t>
            </w:r>
            <w:r w:rsidRPr="00C81EEF">
              <w:rPr>
                <w:rFonts w:ascii="Times New Roman" w:hAnsi="Times New Roman"/>
                <w:color w:val="212121"/>
                <w:sz w:val="20"/>
                <w:szCs w:val="20"/>
              </w:rPr>
              <w:t>При отсутствии тарифа, организация</w:t>
            </w:r>
            <w:r w:rsidR="009C7206">
              <w:rPr>
                <w:rFonts w:ascii="Times New Roman" w:hAnsi="Times New Roman"/>
                <w:color w:val="212121"/>
                <w:sz w:val="20"/>
                <w:szCs w:val="20"/>
              </w:rPr>
              <w:t>,</w:t>
            </w:r>
            <w:r w:rsidRPr="00C81EEF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эксплуатирующая объект откажет в приеме твердых коммунальных отходов.</w:t>
            </w: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</w:rPr>
              <w:lastRenderedPageBreak/>
              <w:t xml:space="preserve">По пункту 5. </w:t>
            </w:r>
            <w:r w:rsidRPr="00C81EEF">
              <w:rPr>
                <w:rFonts w:ascii="Times New Roman" w:hAnsi="Times New Roman"/>
                <w:color w:val="212121"/>
                <w:sz w:val="20"/>
                <w:szCs w:val="20"/>
              </w:rPr>
              <w:t>Уведомление Министерства строительства, архитектуры и жилищно-коммунального хозяйства Республики Татарстан является достаточным. По запросу</w:t>
            </w:r>
            <w:r>
              <w:rPr>
                <w:rFonts w:ascii="Times New Roman" w:hAnsi="Times New Roman"/>
                <w:color w:val="212121"/>
                <w:sz w:val="20"/>
                <w:szCs w:val="20"/>
              </w:rPr>
              <w:t>,</w:t>
            </w:r>
            <w:r w:rsidRPr="00C81EEF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информация может быть предоставлена Государственному комитету Республики Татарстан по тарифам.</w:t>
            </w: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2439AE" w:rsidRDefault="002439AE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  <w:p w:rsidR="00C81EEF" w:rsidRDefault="00C81EEF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По пункту 6. </w:t>
            </w:r>
            <w:r w:rsidR="00295227">
              <w:rPr>
                <w:rFonts w:ascii="Times New Roman" w:hAnsi="Times New Roman"/>
                <w:color w:val="212121"/>
                <w:sz w:val="20"/>
                <w:szCs w:val="20"/>
              </w:rPr>
              <w:t>П</w:t>
            </w:r>
            <w:r w:rsidRPr="00C81EEF">
              <w:rPr>
                <w:rFonts w:ascii="Times New Roman" w:hAnsi="Times New Roman"/>
                <w:color w:val="212121"/>
                <w:sz w:val="20"/>
                <w:szCs w:val="20"/>
              </w:rPr>
              <w:t>ринят</w:t>
            </w:r>
            <w:r w:rsidR="00295227">
              <w:rPr>
                <w:rFonts w:ascii="Times New Roman" w:hAnsi="Times New Roman"/>
                <w:color w:val="212121"/>
                <w:sz w:val="20"/>
                <w:szCs w:val="20"/>
              </w:rPr>
              <w:t>о</w:t>
            </w:r>
            <w:r w:rsidRPr="00C81EEF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к сведению.</w:t>
            </w:r>
          </w:p>
          <w:p w:rsidR="00605882" w:rsidRPr="005B0CFB" w:rsidRDefault="00605882" w:rsidP="00216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212121"/>
                <w:sz w:val="20"/>
                <w:szCs w:val="20"/>
              </w:rPr>
            </w:pPr>
          </w:p>
        </w:tc>
      </w:tr>
    </w:tbl>
    <w:p w:rsidR="00933B66" w:rsidRDefault="00933B66">
      <w:bookmarkStart w:id="0" w:name="_GoBack"/>
      <w:bookmarkEnd w:id="0"/>
    </w:p>
    <w:sectPr w:rsidR="00933B66" w:rsidSect="00504F6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66065"/>
    <w:multiLevelType w:val="hybridMultilevel"/>
    <w:tmpl w:val="B734E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F22B9"/>
    <w:multiLevelType w:val="hybridMultilevel"/>
    <w:tmpl w:val="FAF8B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8251B"/>
    <w:multiLevelType w:val="hybridMultilevel"/>
    <w:tmpl w:val="796C940A"/>
    <w:lvl w:ilvl="0" w:tplc="416E7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06020"/>
    <w:multiLevelType w:val="hybridMultilevel"/>
    <w:tmpl w:val="F7948AB8"/>
    <w:lvl w:ilvl="0" w:tplc="5CA820C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63100"/>
    <w:multiLevelType w:val="hybridMultilevel"/>
    <w:tmpl w:val="652A6BDC"/>
    <w:lvl w:ilvl="0" w:tplc="43928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866B2"/>
    <w:multiLevelType w:val="multilevel"/>
    <w:tmpl w:val="A47A6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A10"/>
    <w:rsid w:val="00014C99"/>
    <w:rsid w:val="000264E4"/>
    <w:rsid w:val="000444FF"/>
    <w:rsid w:val="0008481B"/>
    <w:rsid w:val="000B3432"/>
    <w:rsid w:val="000E44DF"/>
    <w:rsid w:val="000F557E"/>
    <w:rsid w:val="00103885"/>
    <w:rsid w:val="00140EA1"/>
    <w:rsid w:val="00157EDD"/>
    <w:rsid w:val="00166C75"/>
    <w:rsid w:val="001D0D0F"/>
    <w:rsid w:val="001F583E"/>
    <w:rsid w:val="00205D8D"/>
    <w:rsid w:val="002161D0"/>
    <w:rsid w:val="002439AE"/>
    <w:rsid w:val="00265E39"/>
    <w:rsid w:val="00287280"/>
    <w:rsid w:val="002944AD"/>
    <w:rsid w:val="00295227"/>
    <w:rsid w:val="00296331"/>
    <w:rsid w:val="0029660A"/>
    <w:rsid w:val="00311B50"/>
    <w:rsid w:val="00314BC5"/>
    <w:rsid w:val="00320320"/>
    <w:rsid w:val="00333DFD"/>
    <w:rsid w:val="00344AE9"/>
    <w:rsid w:val="00393A53"/>
    <w:rsid w:val="003B29E9"/>
    <w:rsid w:val="004114F3"/>
    <w:rsid w:val="00443878"/>
    <w:rsid w:val="00444F41"/>
    <w:rsid w:val="004940F3"/>
    <w:rsid w:val="004A04B9"/>
    <w:rsid w:val="00504F63"/>
    <w:rsid w:val="005345F6"/>
    <w:rsid w:val="00554683"/>
    <w:rsid w:val="00555EAF"/>
    <w:rsid w:val="005B0CFB"/>
    <w:rsid w:val="00605882"/>
    <w:rsid w:val="00612B1A"/>
    <w:rsid w:val="00616C00"/>
    <w:rsid w:val="00630513"/>
    <w:rsid w:val="006470BC"/>
    <w:rsid w:val="00650A01"/>
    <w:rsid w:val="00683B9D"/>
    <w:rsid w:val="006C4BEE"/>
    <w:rsid w:val="00732500"/>
    <w:rsid w:val="00751ECF"/>
    <w:rsid w:val="0075608F"/>
    <w:rsid w:val="00782D80"/>
    <w:rsid w:val="007A7BFB"/>
    <w:rsid w:val="007E7525"/>
    <w:rsid w:val="0084139B"/>
    <w:rsid w:val="00852EE6"/>
    <w:rsid w:val="00872792"/>
    <w:rsid w:val="00896025"/>
    <w:rsid w:val="008D570C"/>
    <w:rsid w:val="008E2878"/>
    <w:rsid w:val="00914B06"/>
    <w:rsid w:val="00920FCB"/>
    <w:rsid w:val="00933B66"/>
    <w:rsid w:val="009651E7"/>
    <w:rsid w:val="009659FE"/>
    <w:rsid w:val="0097578D"/>
    <w:rsid w:val="0098256C"/>
    <w:rsid w:val="00993D67"/>
    <w:rsid w:val="009C492A"/>
    <w:rsid w:val="009C7206"/>
    <w:rsid w:val="00A13B83"/>
    <w:rsid w:val="00A15187"/>
    <w:rsid w:val="00A202A3"/>
    <w:rsid w:val="00A22771"/>
    <w:rsid w:val="00A30CE8"/>
    <w:rsid w:val="00A43F75"/>
    <w:rsid w:val="00A62CF8"/>
    <w:rsid w:val="00A71B35"/>
    <w:rsid w:val="00A92A10"/>
    <w:rsid w:val="00A92CC8"/>
    <w:rsid w:val="00AE5B5F"/>
    <w:rsid w:val="00B80005"/>
    <w:rsid w:val="00BD406E"/>
    <w:rsid w:val="00C21CDC"/>
    <w:rsid w:val="00C24928"/>
    <w:rsid w:val="00C74854"/>
    <w:rsid w:val="00C81EEF"/>
    <w:rsid w:val="00C91921"/>
    <w:rsid w:val="00CA0006"/>
    <w:rsid w:val="00CA4F09"/>
    <w:rsid w:val="00CB336C"/>
    <w:rsid w:val="00D06273"/>
    <w:rsid w:val="00D07C8D"/>
    <w:rsid w:val="00D22974"/>
    <w:rsid w:val="00D41681"/>
    <w:rsid w:val="00D43600"/>
    <w:rsid w:val="00D45BE4"/>
    <w:rsid w:val="00D92078"/>
    <w:rsid w:val="00D9710D"/>
    <w:rsid w:val="00DB1589"/>
    <w:rsid w:val="00DC4740"/>
    <w:rsid w:val="00DE4FAE"/>
    <w:rsid w:val="00DE6EAB"/>
    <w:rsid w:val="00E20786"/>
    <w:rsid w:val="00E256F5"/>
    <w:rsid w:val="00EA09AD"/>
    <w:rsid w:val="00F55B78"/>
    <w:rsid w:val="00FA6EB2"/>
    <w:rsid w:val="00FB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72F92-35A2-43D4-BDE0-7E636851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DE4FAE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DE4FAE"/>
    <w:rPr>
      <w:rFonts w:ascii="Calibri" w:hAnsi="Calibri"/>
      <w:szCs w:val="21"/>
    </w:rPr>
  </w:style>
  <w:style w:type="paragraph" w:styleId="a6">
    <w:name w:val="Normal (Web)"/>
    <w:basedOn w:val="a"/>
    <w:uiPriority w:val="99"/>
    <w:semiHidden/>
    <w:unhideWhenUsed/>
    <w:rsid w:val="00D920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9660A"/>
    <w:pPr>
      <w:ind w:left="720"/>
      <w:contextualSpacing/>
    </w:pPr>
  </w:style>
  <w:style w:type="character" w:customStyle="1" w:styleId="allowtextselection">
    <w:name w:val="allowtextselection"/>
    <w:basedOn w:val="a0"/>
    <w:rsid w:val="00E20786"/>
  </w:style>
  <w:style w:type="character" w:customStyle="1" w:styleId="bidi">
    <w:name w:val="bidi"/>
    <w:basedOn w:val="a0"/>
    <w:rsid w:val="00E20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14909-57E4-4B78-8C50-3ABFA02F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Хафизова</dc:creator>
  <cp:keywords/>
  <dc:description/>
  <cp:lastModifiedBy>Войкова Диана Викторовна</cp:lastModifiedBy>
  <cp:revision>19</cp:revision>
  <dcterms:created xsi:type="dcterms:W3CDTF">2024-08-16T10:03:00Z</dcterms:created>
  <dcterms:modified xsi:type="dcterms:W3CDTF">2024-08-16T12:24:00Z</dcterms:modified>
</cp:coreProperties>
</file>